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9E" w:rsidRDefault="00426A9E" w:rsidP="00426A9E">
      <w:pPr>
        <w:pStyle w:val="Heading1"/>
        <w:pBdr>
          <w:bottom w:val="single" w:sz="6" w:space="1" w:color="A70031"/>
        </w:pBdr>
        <w:shd w:val="clear" w:color="auto" w:fill="F4F3E8"/>
        <w:spacing w:before="0" w:beforeAutospacing="0" w:after="0" w:afterAutospacing="0" w:line="312" w:lineRule="atLeast"/>
        <w:textAlignment w:val="baseline"/>
        <w:rPr>
          <w:b w:val="0"/>
          <w:bCs w:val="0"/>
          <w:smallCaps/>
          <w:color w:val="292D2E"/>
          <w:spacing w:val="27"/>
          <w:sz w:val="33"/>
          <w:szCs w:val="33"/>
        </w:rPr>
      </w:pPr>
      <w:bookmarkStart w:id="0" w:name="_GoBack"/>
      <w:r>
        <w:rPr>
          <w:b w:val="0"/>
          <w:bCs w:val="0"/>
          <w:smallCaps/>
          <w:color w:val="292D2E"/>
          <w:spacing w:val="27"/>
          <w:sz w:val="33"/>
          <w:szCs w:val="33"/>
        </w:rPr>
        <w:t>ALBF Announces New Round of Grants (August 1, 2011)</w:t>
      </w:r>
    </w:p>
    <w:bookmarkEnd w:id="0"/>
    <w:p w:rsidR="00426A9E" w:rsidRDefault="00426A9E" w:rsidP="00426A9E">
      <w:pPr>
        <w:pStyle w:val="Heading5"/>
        <w:spacing w:before="0" w:after="300" w:line="312" w:lineRule="atLeast"/>
        <w:textAlignment w:val="baseline"/>
        <w:rPr>
          <w:rFonts w:ascii="Trebuchet MS" w:hAnsi="Trebuchet MS"/>
          <w:b/>
          <w:bCs/>
          <w:color w:val="292D2E"/>
          <w:sz w:val="20"/>
          <w:szCs w:val="20"/>
        </w:rPr>
      </w:pPr>
      <w:r>
        <w:rPr>
          <w:rFonts w:ascii="Trebuchet MS" w:hAnsi="Trebuchet MS"/>
          <w:b/>
          <w:bCs/>
          <w:color w:val="292D2E"/>
        </w:rPr>
        <w:t>For immediate release Contact: Harold Holzer (646) 894-6902</w:t>
      </w:r>
    </w:p>
    <w:p w:rsidR="00426A9E" w:rsidRDefault="00426A9E" w:rsidP="00426A9E">
      <w:pPr>
        <w:pStyle w:val="Heading3"/>
        <w:spacing w:before="0" w:line="312" w:lineRule="atLeast"/>
        <w:textAlignment w:val="baseline"/>
        <w:rPr>
          <w:rFonts w:ascii="Trebuchet MS" w:hAnsi="Trebuchet MS"/>
          <w:b/>
          <w:bCs/>
          <w:color w:val="005898"/>
        </w:rPr>
      </w:pPr>
      <w:r>
        <w:rPr>
          <w:rStyle w:val="Strong"/>
          <w:rFonts w:ascii="Trebuchet MS" w:hAnsi="Trebuchet MS"/>
          <w:b w:val="0"/>
          <w:bCs w:val="0"/>
          <w:color w:val="005898"/>
          <w:bdr w:val="none" w:sz="0" w:space="0" w:color="auto" w:frame="1"/>
        </w:rPr>
        <w:t>LINCOLN BICENTENNIAL FOUNDATION</w:t>
      </w:r>
      <w:r>
        <w:rPr>
          <w:rFonts w:ascii="Trebuchet MS" w:hAnsi="Trebuchet MS"/>
          <w:b/>
          <w:bCs/>
          <w:color w:val="005898"/>
        </w:rPr>
        <w:br/>
      </w:r>
      <w:r>
        <w:rPr>
          <w:rFonts w:ascii="Trebuchet MS" w:hAnsi="Trebuchet MS"/>
          <w:b/>
          <w:bCs/>
          <w:color w:val="000000"/>
          <w:bdr w:val="none" w:sz="0" w:space="0" w:color="auto" w:frame="1"/>
        </w:rPr>
        <w:t xml:space="preserve">Announces New Round of Grands for Lincoln-Related Projects </w:t>
      </w:r>
      <w:proofErr w:type="gramStart"/>
      <w:r>
        <w:rPr>
          <w:rFonts w:ascii="Trebuchet MS" w:hAnsi="Trebuchet MS"/>
          <w:b/>
          <w:bCs/>
          <w:color w:val="000000"/>
          <w:bdr w:val="none" w:sz="0" w:space="0" w:color="auto" w:frame="1"/>
        </w:rPr>
        <w:t>Across</w:t>
      </w:r>
      <w:proofErr w:type="gramEnd"/>
      <w:r>
        <w:rPr>
          <w:rFonts w:ascii="Trebuchet MS" w:hAnsi="Trebuchet MS"/>
          <w:b/>
          <w:bCs/>
          <w:color w:val="000000"/>
          <w:bdr w:val="none" w:sz="0" w:space="0" w:color="auto" w:frame="1"/>
        </w:rPr>
        <w:t xml:space="preserve"> the Country</w:t>
      </w:r>
    </w:p>
    <w:p w:rsidR="00426A9E" w:rsidRDefault="00426A9E" w:rsidP="00426A9E">
      <w:pPr>
        <w:shd w:val="clear" w:color="auto" w:fill="F4F3E8"/>
        <w:spacing w:line="180" w:lineRule="atLeast"/>
        <w:textAlignment w:val="baseline"/>
        <w:rPr>
          <w:rFonts w:ascii="Trebuchet MS" w:hAnsi="Trebuchet MS"/>
          <w:color w:val="000000"/>
          <w:sz w:val="20"/>
          <w:szCs w:val="20"/>
        </w:rPr>
      </w:pPr>
      <w:r>
        <w:rPr>
          <w:rFonts w:ascii="Trebuchet MS" w:hAnsi="Trebuchet MS"/>
          <w:noProof/>
          <w:color w:val="743399"/>
          <w:sz w:val="20"/>
          <w:szCs w:val="20"/>
          <w:bdr w:val="none" w:sz="0" w:space="0" w:color="auto" w:frame="1"/>
        </w:rPr>
        <w:drawing>
          <wp:inline distT="0" distB="0" distL="0" distR="0">
            <wp:extent cx="2101850" cy="1528445"/>
            <wp:effectExtent l="0" t="0" r="0" b="0"/>
            <wp:docPr id="1" name="Picture 1" descr="https://web.archive.org/web/20170530072029im_/http:/albf.moracon.com/wp-content/uploads/2011/10/StephenLa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rchive.org/web/20170530072029im_/http:/albf.moracon.com/wp-content/uploads/2011/10/StephenLan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1850" cy="1528445"/>
                    </a:xfrm>
                    <a:prstGeom prst="rect">
                      <a:avLst/>
                    </a:prstGeom>
                    <a:noFill/>
                    <a:ln>
                      <a:noFill/>
                    </a:ln>
                  </pic:spPr>
                </pic:pic>
              </a:graphicData>
            </a:graphic>
          </wp:inline>
        </w:drawing>
      </w:r>
    </w:p>
    <w:p w:rsidR="00426A9E" w:rsidRDefault="00426A9E" w:rsidP="00426A9E">
      <w:pPr>
        <w:pStyle w:val="wp-caption-text"/>
        <w:spacing w:before="75" w:beforeAutospacing="0" w:after="360" w:afterAutospacing="0" w:line="180" w:lineRule="atLeast"/>
        <w:ind w:left="75" w:right="75"/>
        <w:textAlignment w:val="baseline"/>
        <w:rPr>
          <w:rFonts w:ascii="Arial" w:hAnsi="Arial" w:cs="Arial"/>
          <w:color w:val="777777"/>
          <w:sz w:val="15"/>
          <w:szCs w:val="15"/>
        </w:rPr>
      </w:pPr>
      <w:r>
        <w:rPr>
          <w:rFonts w:ascii="Arial" w:hAnsi="Arial" w:cs="Arial"/>
          <w:color w:val="777777"/>
          <w:sz w:val="15"/>
          <w:szCs w:val="15"/>
        </w:rPr>
        <w:t xml:space="preserve">Actor Stephen Lang reads the words of Lincoln at Meeting in Washington. Photo: Henry F. </w:t>
      </w:r>
      <w:proofErr w:type="spellStart"/>
      <w:r>
        <w:rPr>
          <w:rFonts w:ascii="Arial" w:hAnsi="Arial" w:cs="Arial"/>
          <w:color w:val="777777"/>
          <w:sz w:val="15"/>
          <w:szCs w:val="15"/>
        </w:rPr>
        <w:t>Ballone</w:t>
      </w:r>
      <w:proofErr w:type="spellEnd"/>
      <w:r>
        <w:rPr>
          <w:rFonts w:ascii="Arial" w:hAnsi="Arial" w:cs="Arial"/>
          <w:color w:val="777777"/>
          <w:sz w:val="15"/>
          <w:szCs w:val="15"/>
        </w:rPr>
        <w:t>.</w:t>
      </w:r>
    </w:p>
    <w:p w:rsidR="00426A9E" w:rsidRDefault="00426A9E" w:rsidP="00426A9E">
      <w:pPr>
        <w:pStyle w:val="NormalWeb"/>
        <w:spacing w:before="0" w:beforeAutospacing="0" w:after="0" w:afterAutospacing="0"/>
        <w:textAlignment w:val="baseline"/>
        <w:rPr>
          <w:rFonts w:ascii="Trebuchet MS" w:hAnsi="Trebuchet MS"/>
          <w:color w:val="292D2E"/>
          <w:sz w:val="20"/>
          <w:szCs w:val="20"/>
        </w:rPr>
      </w:pPr>
      <w:r>
        <w:rPr>
          <w:rStyle w:val="Strong"/>
          <w:rFonts w:ascii="Trebuchet MS" w:hAnsi="Trebuchet MS"/>
          <w:color w:val="292D2E"/>
          <w:sz w:val="20"/>
          <w:szCs w:val="20"/>
          <w:bdr w:val="none" w:sz="0" w:space="0" w:color="auto" w:frame="1"/>
        </w:rPr>
        <w:t>(August 1, 2011)</w:t>
      </w:r>
      <w:r>
        <w:rPr>
          <w:rFonts w:ascii="Trebuchet MS" w:hAnsi="Trebuchet MS"/>
          <w:b/>
          <w:bCs/>
          <w:color w:val="292D2E"/>
          <w:sz w:val="20"/>
          <w:szCs w:val="20"/>
          <w:bdr w:val="none" w:sz="0" w:space="0" w:color="auto" w:frame="1"/>
        </w:rPr>
        <w:br/>
      </w:r>
      <w:r>
        <w:rPr>
          <w:rFonts w:ascii="Trebuchet MS" w:hAnsi="Trebuchet MS"/>
          <w:color w:val="292D2E"/>
          <w:sz w:val="20"/>
          <w:szCs w:val="20"/>
        </w:rPr>
        <w:t>The Abraham Lincoln Bicentennial Foundation (ALBF) today announced its latest round of grants to museum exhibitions, symposia, education programs, preservation efforts, and other projects around the country that plan to emphasize the Lincoln theme during the Civil War Sesquicentennial.</w:t>
      </w:r>
      <w:r>
        <w:rPr>
          <w:rFonts w:ascii="Trebuchet MS" w:hAnsi="Trebuchet MS"/>
          <w:color w:val="292D2E"/>
          <w:sz w:val="20"/>
          <w:szCs w:val="20"/>
        </w:rPr>
        <w:br/>
        <w:t>The Foundation board voted to approve the latest round of grants at its July 18 meeting in Washington.</w:t>
      </w:r>
    </w:p>
    <w:p w:rsidR="00426A9E" w:rsidRDefault="00426A9E" w:rsidP="00426A9E">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Support will go to the following organizations:</w:t>
      </w:r>
    </w:p>
    <w:p w:rsidR="00426A9E" w:rsidRDefault="00426A9E" w:rsidP="00426A9E">
      <w:pPr>
        <w:numPr>
          <w:ilvl w:val="0"/>
          <w:numId w:val="3"/>
        </w:numPr>
        <w:ind w:left="360"/>
        <w:textAlignment w:val="baseline"/>
        <w:rPr>
          <w:rFonts w:ascii="Trebuchet MS" w:hAnsi="Trebuchet MS"/>
          <w:color w:val="292D2E"/>
          <w:sz w:val="20"/>
          <w:szCs w:val="20"/>
        </w:rPr>
      </w:pPr>
      <w:r>
        <w:rPr>
          <w:rFonts w:ascii="Trebuchet MS" w:hAnsi="Trebuchet MS"/>
          <w:color w:val="292D2E"/>
          <w:sz w:val="20"/>
          <w:szCs w:val="20"/>
        </w:rPr>
        <w:t>The Smithsonian’s National Portrait Gallery in Washington, D. C., to co-sponsor its forthcoming Civil War sesquicentennial exhibition, </w:t>
      </w:r>
      <w:r>
        <w:rPr>
          <w:rStyle w:val="Emphasis"/>
          <w:rFonts w:ascii="Trebuchet MS" w:hAnsi="Trebuchet MS"/>
          <w:color w:val="292D2E"/>
          <w:sz w:val="20"/>
          <w:szCs w:val="20"/>
          <w:bdr w:val="none" w:sz="0" w:space="0" w:color="auto" w:frame="1"/>
        </w:rPr>
        <w:t>The African-American Experience During the Civil War</w:t>
      </w:r>
      <w:r>
        <w:rPr>
          <w:rFonts w:ascii="Trebuchet MS" w:hAnsi="Trebuchet MS"/>
          <w:color w:val="292D2E"/>
          <w:sz w:val="20"/>
          <w:szCs w:val="20"/>
        </w:rPr>
        <w:t>, particularly to fund professional development workshops for the show; and also funding to produce a family guide for another forthcoming Portrait Gallery exhibition on Civil War-era photographer Alexander Gardner.</w:t>
      </w:r>
    </w:p>
    <w:p w:rsidR="00426A9E" w:rsidRDefault="00426A9E" w:rsidP="00426A9E">
      <w:pPr>
        <w:numPr>
          <w:ilvl w:val="0"/>
          <w:numId w:val="3"/>
        </w:numPr>
        <w:spacing w:after="150"/>
        <w:ind w:left="360"/>
        <w:textAlignment w:val="baseline"/>
        <w:rPr>
          <w:rFonts w:ascii="Trebuchet MS" w:hAnsi="Trebuchet MS"/>
          <w:color w:val="292D2E"/>
          <w:sz w:val="20"/>
          <w:szCs w:val="20"/>
        </w:rPr>
      </w:pPr>
      <w:r>
        <w:rPr>
          <w:rFonts w:ascii="Trebuchet MS" w:hAnsi="Trebuchet MS"/>
          <w:color w:val="292D2E"/>
          <w:sz w:val="20"/>
          <w:szCs w:val="20"/>
        </w:rPr>
        <w:t>The Camp Douglas Restoration Foundation in Chicago, to help fund preliminary archaeological investigation at the site of the Civil War training and prisoner-of-war camp built on land owned by, and named for, Senator Stephen A. Douglas.</w:t>
      </w:r>
    </w:p>
    <w:p w:rsidR="00426A9E" w:rsidRDefault="00426A9E" w:rsidP="00426A9E">
      <w:pPr>
        <w:numPr>
          <w:ilvl w:val="0"/>
          <w:numId w:val="3"/>
        </w:numPr>
        <w:spacing w:after="150"/>
        <w:ind w:left="360"/>
        <w:textAlignment w:val="baseline"/>
        <w:rPr>
          <w:rFonts w:ascii="Trebuchet MS" w:hAnsi="Trebuchet MS"/>
          <w:color w:val="292D2E"/>
          <w:sz w:val="20"/>
          <w:szCs w:val="20"/>
        </w:rPr>
      </w:pPr>
      <w:r>
        <w:rPr>
          <w:rFonts w:ascii="Trebuchet MS" w:hAnsi="Trebuchet MS"/>
          <w:color w:val="292D2E"/>
          <w:sz w:val="20"/>
          <w:szCs w:val="20"/>
        </w:rPr>
        <w:t>The College of Charleston in South Carolina (the city where the Civil War began 150 years ago with the firing on Fort Sumter in April 1861) to co-sponsor a 2013 conference of the African Literature Association focused on the sesquicentennial of the Emancipation Proclamation.</w:t>
      </w:r>
    </w:p>
    <w:p w:rsidR="00426A9E" w:rsidRDefault="00426A9E" w:rsidP="00426A9E">
      <w:pPr>
        <w:numPr>
          <w:ilvl w:val="0"/>
          <w:numId w:val="3"/>
        </w:numPr>
        <w:spacing w:after="150"/>
        <w:ind w:left="360"/>
        <w:textAlignment w:val="baseline"/>
        <w:rPr>
          <w:rFonts w:ascii="Trebuchet MS" w:hAnsi="Trebuchet MS"/>
          <w:color w:val="292D2E"/>
          <w:sz w:val="20"/>
          <w:szCs w:val="20"/>
        </w:rPr>
      </w:pPr>
      <w:r>
        <w:rPr>
          <w:rFonts w:ascii="Trebuchet MS" w:hAnsi="Trebuchet MS"/>
          <w:color w:val="292D2E"/>
          <w:sz w:val="20"/>
          <w:szCs w:val="20"/>
        </w:rPr>
        <w:t>The Lincoln Monument Association in Springfield, Illinois, to support preliminary outreach, fundraising, and marketing for the rehabilitation and preservation of Abraham Lincoln’s tomb and other historic monuments at historic Oak Ridge Cemetery.</w:t>
      </w:r>
    </w:p>
    <w:p w:rsidR="00426A9E" w:rsidRDefault="00426A9E" w:rsidP="00426A9E">
      <w:pPr>
        <w:numPr>
          <w:ilvl w:val="0"/>
          <w:numId w:val="3"/>
        </w:numPr>
        <w:ind w:left="360"/>
        <w:textAlignment w:val="baseline"/>
        <w:rPr>
          <w:rFonts w:ascii="Trebuchet MS" w:hAnsi="Trebuchet MS"/>
          <w:color w:val="292D2E"/>
          <w:sz w:val="20"/>
          <w:szCs w:val="20"/>
        </w:rPr>
      </w:pPr>
      <w:r>
        <w:rPr>
          <w:rFonts w:ascii="Trebuchet MS" w:hAnsi="Trebuchet MS"/>
          <w:color w:val="292D2E"/>
          <w:sz w:val="20"/>
          <w:szCs w:val="20"/>
        </w:rPr>
        <w:t>The Huntington Library in San Marino, California, to co-sponsor its 2012 exhibition: </w:t>
      </w:r>
      <w:r>
        <w:rPr>
          <w:rStyle w:val="Emphasis"/>
          <w:rFonts w:ascii="Trebuchet MS" w:hAnsi="Trebuchet MS"/>
          <w:color w:val="292D2E"/>
          <w:sz w:val="20"/>
          <w:szCs w:val="20"/>
          <w:bdr w:val="none" w:sz="0" w:space="0" w:color="auto" w:frame="1"/>
        </w:rPr>
        <w:t>A Strange and Fearful Interest: Death, Mourning, and Memory in the American Civil War.</w:t>
      </w:r>
    </w:p>
    <w:p w:rsidR="00426A9E" w:rsidRDefault="00426A9E" w:rsidP="00426A9E">
      <w:pPr>
        <w:numPr>
          <w:ilvl w:val="0"/>
          <w:numId w:val="3"/>
        </w:numPr>
        <w:ind w:left="360"/>
        <w:textAlignment w:val="baseline"/>
        <w:rPr>
          <w:rFonts w:ascii="Trebuchet MS" w:hAnsi="Trebuchet MS"/>
          <w:color w:val="292D2E"/>
          <w:sz w:val="20"/>
          <w:szCs w:val="20"/>
        </w:rPr>
      </w:pPr>
      <w:r>
        <w:rPr>
          <w:rFonts w:ascii="Trebuchet MS" w:hAnsi="Trebuchet MS"/>
          <w:color w:val="292D2E"/>
          <w:sz w:val="20"/>
          <w:szCs w:val="20"/>
        </w:rPr>
        <w:t>The Newberry Library in Chicago, to co-sponsor a two-day seminar, </w:t>
      </w:r>
      <w:r>
        <w:rPr>
          <w:rStyle w:val="Emphasis"/>
          <w:rFonts w:ascii="Trebuchet MS" w:hAnsi="Trebuchet MS"/>
          <w:color w:val="292D2E"/>
          <w:sz w:val="20"/>
          <w:szCs w:val="20"/>
          <w:bdr w:val="none" w:sz="0" w:space="0" w:color="auto" w:frame="1"/>
        </w:rPr>
        <w:t>Teachers as Scholars: Abraham Lincoln</w:t>
      </w:r>
      <w:r>
        <w:rPr>
          <w:rFonts w:ascii="Trebuchet MS" w:hAnsi="Trebuchet MS"/>
          <w:color w:val="292D2E"/>
          <w:sz w:val="20"/>
          <w:szCs w:val="20"/>
        </w:rPr>
        <w:t>.</w:t>
      </w:r>
    </w:p>
    <w:p w:rsidR="00426A9E" w:rsidRDefault="00426A9E" w:rsidP="00426A9E">
      <w:pPr>
        <w:numPr>
          <w:ilvl w:val="0"/>
          <w:numId w:val="3"/>
        </w:numPr>
        <w:ind w:left="360"/>
        <w:textAlignment w:val="baseline"/>
        <w:rPr>
          <w:rFonts w:ascii="Trebuchet MS" w:hAnsi="Trebuchet MS"/>
          <w:color w:val="292D2E"/>
          <w:sz w:val="20"/>
          <w:szCs w:val="20"/>
        </w:rPr>
      </w:pPr>
      <w:r>
        <w:rPr>
          <w:rFonts w:ascii="Trebuchet MS" w:hAnsi="Trebuchet MS"/>
          <w:color w:val="292D2E"/>
          <w:sz w:val="20"/>
          <w:szCs w:val="20"/>
        </w:rPr>
        <w:t>The National Civil War Museum in Harrisburg, Pennsylvania, to help fund the creation of an interactive component of its recently introduced virtual exhibit, </w:t>
      </w:r>
      <w:r>
        <w:rPr>
          <w:rStyle w:val="Emphasis"/>
          <w:rFonts w:ascii="Trebuchet MS" w:hAnsi="Trebuchet MS"/>
          <w:color w:val="292D2E"/>
          <w:sz w:val="20"/>
          <w:szCs w:val="20"/>
          <w:bdr w:val="none" w:sz="0" w:space="0" w:color="auto" w:frame="1"/>
        </w:rPr>
        <w:t>Meet Mr. Lincoln.</w:t>
      </w:r>
    </w:p>
    <w:p w:rsidR="00426A9E" w:rsidRDefault="00426A9E" w:rsidP="00426A9E">
      <w:pPr>
        <w:numPr>
          <w:ilvl w:val="0"/>
          <w:numId w:val="3"/>
        </w:numPr>
        <w:spacing w:after="150"/>
        <w:ind w:left="360"/>
        <w:textAlignment w:val="baseline"/>
        <w:rPr>
          <w:rFonts w:ascii="Trebuchet MS" w:hAnsi="Trebuchet MS"/>
          <w:color w:val="292D2E"/>
          <w:sz w:val="20"/>
          <w:szCs w:val="20"/>
        </w:rPr>
      </w:pPr>
      <w:r>
        <w:rPr>
          <w:rFonts w:ascii="Trebuchet MS" w:hAnsi="Trebuchet MS"/>
          <w:color w:val="292D2E"/>
          <w:sz w:val="20"/>
          <w:szCs w:val="20"/>
        </w:rPr>
        <w:t xml:space="preserve">The Gilder </w:t>
      </w:r>
      <w:proofErr w:type="spellStart"/>
      <w:r>
        <w:rPr>
          <w:rFonts w:ascii="Trebuchet MS" w:hAnsi="Trebuchet MS"/>
          <w:color w:val="292D2E"/>
          <w:sz w:val="20"/>
          <w:szCs w:val="20"/>
        </w:rPr>
        <w:t>Lehrman</w:t>
      </w:r>
      <w:proofErr w:type="spellEnd"/>
      <w:r>
        <w:rPr>
          <w:rFonts w:ascii="Trebuchet MS" w:hAnsi="Trebuchet MS"/>
          <w:color w:val="292D2E"/>
          <w:sz w:val="20"/>
          <w:szCs w:val="20"/>
        </w:rPr>
        <w:t xml:space="preserve"> Institute of American History in New York, to re-print its acclaimed “History in a Box” on Abraham Lincoln, and distribute it to history departments in schools across the country.</w:t>
      </w:r>
    </w:p>
    <w:p w:rsidR="00426A9E" w:rsidRDefault="00426A9E" w:rsidP="00426A9E">
      <w:pPr>
        <w:numPr>
          <w:ilvl w:val="0"/>
          <w:numId w:val="3"/>
        </w:numPr>
        <w:spacing w:after="150"/>
        <w:ind w:left="360"/>
        <w:textAlignment w:val="baseline"/>
        <w:rPr>
          <w:rFonts w:ascii="Trebuchet MS" w:hAnsi="Trebuchet MS"/>
          <w:color w:val="292D2E"/>
          <w:sz w:val="20"/>
          <w:szCs w:val="20"/>
        </w:rPr>
      </w:pPr>
      <w:r>
        <w:rPr>
          <w:rFonts w:ascii="Trebuchet MS" w:hAnsi="Trebuchet MS"/>
          <w:color w:val="292D2E"/>
          <w:sz w:val="20"/>
          <w:szCs w:val="20"/>
        </w:rPr>
        <w:lastRenderedPageBreak/>
        <w:t>The Lincoln Studies Center at Knox College in Galesburg, Illinois, to co-sponsor a number of initiatives, including new educational outreach programs, document transcription, and sesquicentennial symposia.</w:t>
      </w:r>
    </w:p>
    <w:p w:rsidR="00426A9E" w:rsidRDefault="00426A9E" w:rsidP="00426A9E">
      <w:pPr>
        <w:numPr>
          <w:ilvl w:val="0"/>
          <w:numId w:val="3"/>
        </w:numPr>
        <w:spacing w:after="150"/>
        <w:ind w:left="360"/>
        <w:textAlignment w:val="baseline"/>
        <w:rPr>
          <w:rFonts w:ascii="Trebuchet MS" w:hAnsi="Trebuchet MS"/>
          <w:color w:val="292D2E"/>
          <w:sz w:val="20"/>
          <w:szCs w:val="20"/>
        </w:rPr>
      </w:pPr>
      <w:r>
        <w:rPr>
          <w:rFonts w:ascii="Trebuchet MS" w:hAnsi="Trebuchet MS"/>
          <w:color w:val="292D2E"/>
          <w:sz w:val="20"/>
          <w:szCs w:val="20"/>
        </w:rPr>
        <w:t>The New York State Archives Partnership Trust in Albany, New York, to support Civil War sesquicentennial events, particularly a 2012 Albany Law School scholarly conference on Lincoln and Civil Liberties.</w:t>
      </w:r>
    </w:p>
    <w:p w:rsidR="00426A9E" w:rsidRDefault="00426A9E" w:rsidP="00426A9E">
      <w:pPr>
        <w:numPr>
          <w:ilvl w:val="0"/>
          <w:numId w:val="3"/>
        </w:numPr>
        <w:ind w:left="360"/>
        <w:textAlignment w:val="baseline"/>
        <w:rPr>
          <w:rFonts w:ascii="Trebuchet MS" w:hAnsi="Trebuchet MS"/>
          <w:color w:val="292D2E"/>
          <w:sz w:val="20"/>
          <w:szCs w:val="20"/>
        </w:rPr>
      </w:pPr>
      <w:r>
        <w:rPr>
          <w:rFonts w:ascii="Trebuchet MS" w:hAnsi="Trebuchet MS"/>
          <w:color w:val="292D2E"/>
          <w:sz w:val="20"/>
          <w:szCs w:val="20"/>
        </w:rPr>
        <w:t>President Lincoln’s Cottage at the Soldiers’ Home in Washington, D.C., to support and co-sponsor its annual </w:t>
      </w:r>
      <w:r>
        <w:rPr>
          <w:rStyle w:val="Emphasis"/>
          <w:rFonts w:ascii="Trebuchet MS" w:hAnsi="Trebuchet MS"/>
          <w:color w:val="292D2E"/>
          <w:sz w:val="20"/>
          <w:szCs w:val="20"/>
          <w:bdr w:val="none" w:sz="0" w:space="0" w:color="auto" w:frame="1"/>
        </w:rPr>
        <w:t>Cottage Conversation</w:t>
      </w:r>
      <w:r>
        <w:rPr>
          <w:rFonts w:ascii="Trebuchet MS" w:hAnsi="Trebuchet MS"/>
          <w:color w:val="292D2E"/>
          <w:sz w:val="20"/>
          <w:szCs w:val="20"/>
        </w:rPr>
        <w:t> lecture series.</w:t>
      </w:r>
    </w:p>
    <w:p w:rsidR="00426A9E" w:rsidRDefault="00426A9E" w:rsidP="00426A9E">
      <w:pPr>
        <w:numPr>
          <w:ilvl w:val="0"/>
          <w:numId w:val="3"/>
        </w:numPr>
        <w:ind w:left="360"/>
        <w:textAlignment w:val="baseline"/>
        <w:rPr>
          <w:rFonts w:ascii="Trebuchet MS" w:hAnsi="Trebuchet MS"/>
          <w:color w:val="292D2E"/>
          <w:sz w:val="20"/>
          <w:szCs w:val="20"/>
        </w:rPr>
      </w:pPr>
      <w:r>
        <w:rPr>
          <w:rFonts w:ascii="Trebuchet MS" w:hAnsi="Trebuchet MS"/>
          <w:color w:val="292D2E"/>
          <w:sz w:val="20"/>
          <w:szCs w:val="20"/>
        </w:rPr>
        <w:t>The Lincoln at the Crossroads Alliance to co-sponsor its forthcoming 150</w:t>
      </w:r>
      <w:r>
        <w:rPr>
          <w:rFonts w:ascii="Trebuchet MS" w:hAnsi="Trebuchet MS"/>
          <w:color w:val="292D2E"/>
          <w:sz w:val="15"/>
          <w:szCs w:val="15"/>
          <w:bdr w:val="none" w:sz="0" w:space="0" w:color="auto" w:frame="1"/>
          <w:vertAlign w:val="superscript"/>
        </w:rPr>
        <w:t>th</w:t>
      </w:r>
      <w:r>
        <w:rPr>
          <w:rFonts w:ascii="Trebuchet MS" w:hAnsi="Trebuchet MS"/>
          <w:color w:val="292D2E"/>
          <w:sz w:val="20"/>
          <w:szCs w:val="20"/>
        </w:rPr>
        <w:t> anniversary re-enactment and conference to commemorate the Grand Review of the Army at Bailey’s Crossroads, Virginia in 1861.</w:t>
      </w:r>
    </w:p>
    <w:p w:rsidR="00426A9E" w:rsidRDefault="00426A9E" w:rsidP="00426A9E">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Commented Harold Holzer, Chairman of the Foundation: “We are proud and delighted to support all these institutions and initiatives, and to endorse their compelling plans to keep Abraham Lincoln at the forefront of the national conversation during the Civil War Sesquicentennial.  Their efforts promise to galvanize significant numbers of scholars, students, and enthusiasts to further explore the Lincoln legacy and its significance to both historical commemoration and the national future.  The Foundation remains committed to stimulating that dialogue.”</w:t>
      </w:r>
    </w:p>
    <w:p w:rsidR="00426A9E" w:rsidRDefault="00426A9E" w:rsidP="00426A9E">
      <w:pPr>
        <w:pStyle w:val="NormalWeb"/>
        <w:spacing w:before="0" w:beforeAutospacing="0" w:after="0" w:afterAutospacing="0"/>
        <w:textAlignment w:val="baseline"/>
        <w:rPr>
          <w:rFonts w:ascii="Trebuchet MS" w:hAnsi="Trebuchet MS"/>
          <w:color w:val="292D2E"/>
          <w:sz w:val="20"/>
          <w:szCs w:val="20"/>
        </w:rPr>
      </w:pPr>
      <w:r>
        <w:rPr>
          <w:rFonts w:ascii="Trebuchet MS" w:hAnsi="Trebuchet MS"/>
          <w:color w:val="292D2E"/>
          <w:sz w:val="20"/>
          <w:szCs w:val="20"/>
        </w:rPr>
        <w:t>The ALBF is the official successor organization of the U. S. Lincoln Bicentennial Commission, which oversaw observances of Lincoln’s 200</w:t>
      </w:r>
      <w:r>
        <w:rPr>
          <w:rFonts w:ascii="Trebuchet MS" w:hAnsi="Trebuchet MS"/>
          <w:color w:val="292D2E"/>
          <w:sz w:val="15"/>
          <w:szCs w:val="15"/>
          <w:bdr w:val="none" w:sz="0" w:space="0" w:color="auto" w:frame="1"/>
          <w:vertAlign w:val="superscript"/>
        </w:rPr>
        <w:t>th</w:t>
      </w:r>
      <w:r>
        <w:rPr>
          <w:rFonts w:ascii="Trebuchet MS" w:hAnsi="Trebuchet MS"/>
          <w:color w:val="292D2E"/>
          <w:sz w:val="20"/>
          <w:szCs w:val="20"/>
        </w:rPr>
        <w:t xml:space="preserve"> birthday.  Members of the foundation are: Orville Vernon Burton (vice chairman), Thomas Campbell (treasurer), Charles </w:t>
      </w:r>
      <w:proofErr w:type="spellStart"/>
      <w:r>
        <w:rPr>
          <w:rFonts w:ascii="Trebuchet MS" w:hAnsi="Trebuchet MS"/>
          <w:color w:val="292D2E"/>
          <w:sz w:val="20"/>
          <w:szCs w:val="20"/>
        </w:rPr>
        <w:t>Scholz</w:t>
      </w:r>
      <w:proofErr w:type="spellEnd"/>
      <w:r>
        <w:rPr>
          <w:rFonts w:ascii="Trebuchet MS" w:hAnsi="Trebuchet MS"/>
          <w:color w:val="292D2E"/>
          <w:sz w:val="20"/>
          <w:szCs w:val="20"/>
        </w:rPr>
        <w:t xml:space="preserve"> (secretary), Darrel </w:t>
      </w:r>
      <w:proofErr w:type="spellStart"/>
      <w:r>
        <w:rPr>
          <w:rFonts w:ascii="Trebuchet MS" w:hAnsi="Trebuchet MS"/>
          <w:color w:val="292D2E"/>
          <w:sz w:val="20"/>
          <w:szCs w:val="20"/>
        </w:rPr>
        <w:t>Bigham</w:t>
      </w:r>
      <w:proofErr w:type="spellEnd"/>
      <w:r>
        <w:rPr>
          <w:rFonts w:ascii="Trebuchet MS" w:hAnsi="Trebuchet MS"/>
          <w:color w:val="292D2E"/>
          <w:sz w:val="20"/>
          <w:szCs w:val="20"/>
        </w:rPr>
        <w:t xml:space="preserve">, David Lawrence Jr., Antonio Mora, Edna Greene Medford, Jean Powers </w:t>
      </w:r>
      <w:proofErr w:type="spellStart"/>
      <w:r>
        <w:rPr>
          <w:rFonts w:ascii="Trebuchet MS" w:hAnsi="Trebuchet MS"/>
          <w:color w:val="292D2E"/>
          <w:sz w:val="20"/>
          <w:szCs w:val="20"/>
        </w:rPr>
        <w:t>Soman</w:t>
      </w:r>
      <w:proofErr w:type="spellEnd"/>
      <w:r>
        <w:rPr>
          <w:rFonts w:ascii="Trebuchet MS" w:hAnsi="Trebuchet MS"/>
          <w:color w:val="292D2E"/>
          <w:sz w:val="20"/>
          <w:szCs w:val="20"/>
        </w:rPr>
        <w:t>, and Frank J. Williams.</w:t>
      </w:r>
    </w:p>
    <w:p w:rsidR="00426A9E" w:rsidRDefault="00426A9E" w:rsidP="00426A9E">
      <w:pPr>
        <w:pStyle w:val="NormalWeb"/>
        <w:spacing w:before="0" w:beforeAutospacing="0" w:after="0" w:afterAutospacing="0"/>
        <w:textAlignment w:val="baseline"/>
        <w:rPr>
          <w:rFonts w:ascii="Trebuchet MS" w:hAnsi="Trebuchet MS"/>
          <w:color w:val="292D2E"/>
          <w:sz w:val="20"/>
          <w:szCs w:val="20"/>
        </w:rPr>
      </w:pPr>
      <w:r>
        <w:rPr>
          <w:rFonts w:ascii="Trebuchet MS" w:hAnsi="Trebuchet MS"/>
          <w:color w:val="292D2E"/>
          <w:sz w:val="20"/>
          <w:szCs w:val="20"/>
        </w:rPr>
        <w:t>Applicants for future funding are encouraged to log onto the ALBF website (abrahamlincoln200.org) to consult guidelines, or to write the chairman for further information at 205 East 78</w:t>
      </w:r>
      <w:r>
        <w:rPr>
          <w:rFonts w:ascii="Trebuchet MS" w:hAnsi="Trebuchet MS"/>
          <w:color w:val="292D2E"/>
          <w:sz w:val="15"/>
          <w:szCs w:val="15"/>
          <w:bdr w:val="none" w:sz="0" w:space="0" w:color="auto" w:frame="1"/>
          <w:vertAlign w:val="superscript"/>
        </w:rPr>
        <w:t>th</w:t>
      </w:r>
      <w:r>
        <w:rPr>
          <w:rFonts w:ascii="Trebuchet MS" w:hAnsi="Trebuchet MS"/>
          <w:color w:val="292D2E"/>
          <w:sz w:val="20"/>
          <w:szCs w:val="20"/>
        </w:rPr>
        <w:t> Street, #14E, New York, NY  10075.  The next meeting and funding cycle are scheduled for January 2012.</w:t>
      </w:r>
    </w:p>
    <w:p w:rsidR="00586CAB" w:rsidRDefault="00426A9E"/>
    <w:sectPr w:rsidR="0058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3DAE"/>
    <w:multiLevelType w:val="multilevel"/>
    <w:tmpl w:val="DE9E0E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9673F"/>
    <w:multiLevelType w:val="multilevel"/>
    <w:tmpl w:val="586216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B070D"/>
    <w:multiLevelType w:val="multilevel"/>
    <w:tmpl w:val="7E703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69"/>
    <w:rsid w:val="000D3261"/>
    <w:rsid w:val="00426A9E"/>
    <w:rsid w:val="004A08F0"/>
    <w:rsid w:val="005210C4"/>
    <w:rsid w:val="005F2900"/>
    <w:rsid w:val="006F5FDA"/>
    <w:rsid w:val="009E69B2"/>
    <w:rsid w:val="00A06310"/>
    <w:rsid w:val="00A359AF"/>
    <w:rsid w:val="00B930FF"/>
    <w:rsid w:val="00BD7869"/>
    <w:rsid w:val="00D375AA"/>
    <w:rsid w:val="00F5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E6E36-B6C7-4CD4-AB14-8EB7F7C9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86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26A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26A9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6F5FDA"/>
  </w:style>
  <w:style w:type="character" w:customStyle="1" w:styleId="Heading1Char">
    <w:name w:val="Heading 1 Char"/>
    <w:basedOn w:val="DefaultParagraphFont"/>
    <w:link w:val="Heading1"/>
    <w:uiPriority w:val="9"/>
    <w:rsid w:val="00BD78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786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D7869"/>
    <w:rPr>
      <w:b/>
      <w:bCs/>
    </w:rPr>
  </w:style>
  <w:style w:type="character" w:styleId="Hyperlink">
    <w:name w:val="Hyperlink"/>
    <w:basedOn w:val="DefaultParagraphFont"/>
    <w:uiPriority w:val="99"/>
    <w:semiHidden/>
    <w:unhideWhenUsed/>
    <w:rsid w:val="00A06310"/>
    <w:rPr>
      <w:color w:val="0000FF"/>
      <w:u w:val="single"/>
    </w:rPr>
  </w:style>
  <w:style w:type="character" w:customStyle="1" w:styleId="Heading3Char">
    <w:name w:val="Heading 3 Char"/>
    <w:basedOn w:val="DefaultParagraphFont"/>
    <w:link w:val="Heading3"/>
    <w:uiPriority w:val="9"/>
    <w:semiHidden/>
    <w:rsid w:val="00426A9E"/>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426A9E"/>
    <w:rPr>
      <w:rFonts w:asciiTheme="majorHAnsi" w:eastAsiaTheme="majorEastAsia" w:hAnsiTheme="majorHAnsi" w:cstheme="majorBidi"/>
      <w:color w:val="2E74B5" w:themeColor="accent1" w:themeShade="BF"/>
    </w:rPr>
  </w:style>
  <w:style w:type="paragraph" w:customStyle="1" w:styleId="wp-caption-text">
    <w:name w:val="wp-caption-text"/>
    <w:basedOn w:val="Normal"/>
    <w:rsid w:val="00426A9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26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21">
      <w:bodyDiv w:val="1"/>
      <w:marLeft w:val="0"/>
      <w:marRight w:val="0"/>
      <w:marTop w:val="0"/>
      <w:marBottom w:val="0"/>
      <w:divBdr>
        <w:top w:val="none" w:sz="0" w:space="0" w:color="auto"/>
        <w:left w:val="none" w:sz="0" w:space="0" w:color="auto"/>
        <w:bottom w:val="none" w:sz="0" w:space="0" w:color="auto"/>
        <w:right w:val="none" w:sz="0" w:space="0" w:color="auto"/>
      </w:divBdr>
      <w:divsChild>
        <w:div w:id="570232653">
          <w:marLeft w:val="0"/>
          <w:marRight w:val="0"/>
          <w:marTop w:val="0"/>
          <w:marBottom w:val="0"/>
          <w:divBdr>
            <w:top w:val="none" w:sz="0" w:space="0" w:color="auto"/>
            <w:left w:val="none" w:sz="0" w:space="0" w:color="auto"/>
            <w:bottom w:val="none" w:sz="0" w:space="0" w:color="auto"/>
            <w:right w:val="none" w:sz="0" w:space="0" w:color="auto"/>
          </w:divBdr>
        </w:div>
      </w:divsChild>
    </w:div>
    <w:div w:id="348605122">
      <w:bodyDiv w:val="1"/>
      <w:marLeft w:val="0"/>
      <w:marRight w:val="0"/>
      <w:marTop w:val="0"/>
      <w:marBottom w:val="0"/>
      <w:divBdr>
        <w:top w:val="none" w:sz="0" w:space="0" w:color="auto"/>
        <w:left w:val="none" w:sz="0" w:space="0" w:color="auto"/>
        <w:bottom w:val="none" w:sz="0" w:space="0" w:color="auto"/>
        <w:right w:val="none" w:sz="0" w:space="0" w:color="auto"/>
      </w:divBdr>
      <w:divsChild>
        <w:div w:id="1691754806">
          <w:marLeft w:val="0"/>
          <w:marRight w:val="0"/>
          <w:marTop w:val="0"/>
          <w:marBottom w:val="0"/>
          <w:divBdr>
            <w:top w:val="none" w:sz="0" w:space="0" w:color="auto"/>
            <w:left w:val="none" w:sz="0" w:space="0" w:color="auto"/>
            <w:bottom w:val="none" w:sz="0" w:space="0" w:color="auto"/>
            <w:right w:val="none" w:sz="0" w:space="0" w:color="auto"/>
          </w:divBdr>
        </w:div>
      </w:divsChild>
    </w:div>
    <w:div w:id="993029820">
      <w:bodyDiv w:val="1"/>
      <w:marLeft w:val="0"/>
      <w:marRight w:val="0"/>
      <w:marTop w:val="0"/>
      <w:marBottom w:val="0"/>
      <w:divBdr>
        <w:top w:val="none" w:sz="0" w:space="0" w:color="auto"/>
        <w:left w:val="none" w:sz="0" w:space="0" w:color="auto"/>
        <w:bottom w:val="none" w:sz="0" w:space="0" w:color="auto"/>
        <w:right w:val="none" w:sz="0" w:space="0" w:color="auto"/>
      </w:divBdr>
      <w:divsChild>
        <w:div w:id="567110231">
          <w:marLeft w:val="0"/>
          <w:marRight w:val="0"/>
          <w:marTop w:val="0"/>
          <w:marBottom w:val="0"/>
          <w:divBdr>
            <w:top w:val="none" w:sz="0" w:space="0" w:color="auto"/>
            <w:left w:val="none" w:sz="0" w:space="0" w:color="auto"/>
            <w:bottom w:val="none" w:sz="0" w:space="0" w:color="auto"/>
            <w:right w:val="none" w:sz="0" w:space="0" w:color="auto"/>
          </w:divBdr>
        </w:div>
      </w:divsChild>
    </w:div>
    <w:div w:id="1136219941">
      <w:bodyDiv w:val="1"/>
      <w:marLeft w:val="0"/>
      <w:marRight w:val="0"/>
      <w:marTop w:val="0"/>
      <w:marBottom w:val="0"/>
      <w:divBdr>
        <w:top w:val="none" w:sz="0" w:space="0" w:color="auto"/>
        <w:left w:val="none" w:sz="0" w:space="0" w:color="auto"/>
        <w:bottom w:val="none" w:sz="0" w:space="0" w:color="auto"/>
        <w:right w:val="none" w:sz="0" w:space="0" w:color="auto"/>
      </w:divBdr>
      <w:divsChild>
        <w:div w:id="1471750942">
          <w:marLeft w:val="0"/>
          <w:marRight w:val="0"/>
          <w:marTop w:val="0"/>
          <w:marBottom w:val="0"/>
          <w:divBdr>
            <w:top w:val="none" w:sz="0" w:space="0" w:color="auto"/>
            <w:left w:val="none" w:sz="0" w:space="0" w:color="auto"/>
            <w:bottom w:val="none" w:sz="0" w:space="0" w:color="auto"/>
            <w:right w:val="none" w:sz="0" w:space="0" w:color="auto"/>
          </w:divBdr>
        </w:div>
      </w:divsChild>
    </w:div>
    <w:div w:id="1405102200">
      <w:bodyDiv w:val="1"/>
      <w:marLeft w:val="0"/>
      <w:marRight w:val="0"/>
      <w:marTop w:val="0"/>
      <w:marBottom w:val="0"/>
      <w:divBdr>
        <w:top w:val="none" w:sz="0" w:space="0" w:color="auto"/>
        <w:left w:val="none" w:sz="0" w:space="0" w:color="auto"/>
        <w:bottom w:val="none" w:sz="0" w:space="0" w:color="auto"/>
        <w:right w:val="none" w:sz="0" w:space="0" w:color="auto"/>
      </w:divBdr>
      <w:divsChild>
        <w:div w:id="27637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eb.archive.org/web/20170530072029/http:/albf.moracon.com/wp-content/uploads/2011/10/StephenLang.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Allen County Public Library</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Rapoza</dc:creator>
  <cp:keywords/>
  <dc:description/>
  <cp:lastModifiedBy>Emily Rapoza</cp:lastModifiedBy>
  <cp:revision>2</cp:revision>
  <dcterms:created xsi:type="dcterms:W3CDTF">2019-01-24T18:22:00Z</dcterms:created>
  <dcterms:modified xsi:type="dcterms:W3CDTF">2019-01-24T18:22:00Z</dcterms:modified>
</cp:coreProperties>
</file>